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1D" w:rsidRPr="00A10C1D" w:rsidRDefault="00A10C1D" w:rsidP="00A10C1D">
      <w:pPr>
        <w:shd w:val="clear" w:color="auto" w:fill="FFFFFF"/>
        <w:bidi w:val="0"/>
        <w:spacing w:after="225" w:line="450" w:lineRule="atLeast"/>
        <w:outlineLvl w:val="0"/>
        <w:rPr>
          <w:rFonts w:ascii="Verdana" w:eastAsia="Times New Roman" w:hAnsi="Verdana" w:cs="Times New Roman"/>
          <w:color w:val="660099"/>
          <w:spacing w:val="-15"/>
          <w:kern w:val="36"/>
          <w:sz w:val="36"/>
          <w:szCs w:val="36"/>
        </w:rPr>
      </w:pPr>
      <w:r w:rsidRPr="00A10C1D">
        <w:rPr>
          <w:rFonts w:ascii="Verdana" w:eastAsia="Times New Roman" w:hAnsi="Verdana" w:cs="Times New Roman"/>
          <w:color w:val="660099"/>
          <w:spacing w:val="-15"/>
          <w:kern w:val="36"/>
          <w:sz w:val="36"/>
          <w:szCs w:val="36"/>
        </w:rPr>
        <w:t>Describing Tr</w:t>
      </w:r>
      <w:bookmarkStart w:id="0" w:name="_GoBack"/>
      <w:bookmarkEnd w:id="0"/>
      <w:r w:rsidRPr="00A10C1D">
        <w:rPr>
          <w:rFonts w:ascii="Verdana" w:eastAsia="Times New Roman" w:hAnsi="Verdana" w:cs="Times New Roman"/>
          <w:color w:val="660099"/>
          <w:spacing w:val="-15"/>
          <w:kern w:val="36"/>
          <w:sz w:val="36"/>
          <w:szCs w:val="36"/>
        </w:rPr>
        <w:t>ends</w:t>
      </w:r>
      <w:r w:rsidR="00136F33">
        <w:rPr>
          <w:rFonts w:ascii="Verdana" w:eastAsia="Times New Roman" w:hAnsi="Verdana" w:cs="Times New Roman"/>
          <w:color w:val="660099"/>
          <w:spacing w:val="-15"/>
          <w:kern w:val="36"/>
          <w:sz w:val="36"/>
          <w:szCs w:val="36"/>
        </w:rPr>
        <w:t xml:space="preserve"> &amp; Projections</w:t>
      </w:r>
    </w:p>
    <w:p w:rsidR="00A10C1D" w:rsidRPr="00A10C1D" w:rsidRDefault="00A10C1D" w:rsidP="00A10C1D">
      <w:pPr>
        <w:shd w:val="clear" w:color="auto" w:fill="FFFFFF"/>
        <w:bidi w:val="0"/>
        <w:spacing w:after="0" w:line="15" w:lineRule="atLeast"/>
        <w:rPr>
          <w:rFonts w:ascii="Verdana" w:eastAsia="Times New Roman" w:hAnsi="Verdana" w:cs="Times New Roman"/>
          <w:color w:val="333333"/>
          <w:sz w:val="2"/>
          <w:szCs w:val="2"/>
        </w:rPr>
      </w:pPr>
      <w:r w:rsidRPr="00A10C1D">
        <w:rPr>
          <w:rFonts w:ascii="Verdana" w:eastAsia="Times New Roman" w:hAnsi="Verdana" w:cs="Times New Roman"/>
          <w:color w:val="333333"/>
          <w:sz w:val="2"/>
          <w:szCs w:val="2"/>
        </w:rPr>
        <w:t> </w:t>
      </w:r>
    </w:p>
    <w:p w:rsidR="00A10C1D" w:rsidRPr="00A10C1D" w:rsidRDefault="00A10C1D" w:rsidP="00136F33">
      <w:pPr>
        <w:shd w:val="clear" w:color="auto" w:fill="F0F0F0"/>
        <w:bidi w:val="0"/>
        <w:spacing w:after="15" w:line="317" w:lineRule="atLeast"/>
        <w:rPr>
          <w:rFonts w:ascii="Verdana" w:eastAsia="Times New Roman" w:hAnsi="Verdana" w:cs="Times New Roman"/>
          <w:color w:val="000080"/>
          <w:sz w:val="20"/>
          <w:szCs w:val="20"/>
        </w:rPr>
      </w:pPr>
      <w:r w:rsidRPr="001C2E70">
        <w:rPr>
          <w:rFonts w:ascii="Verdana" w:eastAsia="Times New Roman" w:hAnsi="Verdana" w:cs="Times New Roman"/>
          <w:b/>
          <w:bCs/>
          <w:color w:val="000080"/>
          <w:sz w:val="20"/>
          <w:szCs w:val="20"/>
        </w:rPr>
        <w:t>A trend</w:t>
      </w:r>
      <w:r w:rsidRPr="00A10C1D">
        <w:rPr>
          <w:rFonts w:ascii="Verdana" w:eastAsia="Times New Roman" w:hAnsi="Verdana" w:cs="Times New Roman"/>
          <w:color w:val="000080"/>
          <w:sz w:val="20"/>
          <w:szCs w:val="20"/>
        </w:rPr>
        <w:t xml:space="preserve"> is the general direction in which something is developing or changing over time. </w:t>
      </w:r>
      <w:r w:rsidRPr="001C2E70">
        <w:rPr>
          <w:rFonts w:ascii="Verdana" w:eastAsia="Times New Roman" w:hAnsi="Verdana" w:cs="Times New Roman"/>
          <w:b/>
          <w:bCs/>
          <w:color w:val="000080"/>
          <w:sz w:val="20"/>
          <w:szCs w:val="20"/>
        </w:rPr>
        <w:t>A projection</w:t>
      </w:r>
      <w:r w:rsidRPr="00A10C1D">
        <w:rPr>
          <w:rFonts w:ascii="Verdana" w:eastAsia="Times New Roman" w:hAnsi="Verdana" w:cs="Times New Roman"/>
          <w:color w:val="000080"/>
          <w:sz w:val="20"/>
          <w:szCs w:val="20"/>
        </w:rPr>
        <w:t xml:space="preserve"> is a prediction of future change. Trends and projections are usually illustrated using line graphs in which the horizontal axis represents time. Some of the language commonly used for </w:t>
      </w:r>
      <w:r w:rsidR="00136F33">
        <w:rPr>
          <w:rFonts w:ascii="Verdana" w:eastAsia="Times New Roman" w:hAnsi="Verdana" w:cs="Times New Roman"/>
          <w:color w:val="000080"/>
          <w:sz w:val="20"/>
          <w:szCs w:val="20"/>
        </w:rPr>
        <w:t>describing</w:t>
      </w:r>
      <w:r w:rsidRPr="00A10C1D">
        <w:rPr>
          <w:rFonts w:ascii="Verdana" w:eastAsia="Times New Roman" w:hAnsi="Verdana" w:cs="Times New Roman"/>
          <w:color w:val="000080"/>
          <w:sz w:val="20"/>
          <w:szCs w:val="20"/>
        </w:rPr>
        <w:t xml:space="preserve"> trends and projections is given below.</w:t>
      </w:r>
    </w:p>
    <w:p w:rsidR="00A10C1D" w:rsidRPr="00A10C1D" w:rsidRDefault="00A10C1D" w:rsidP="00A10C1D">
      <w:pPr>
        <w:shd w:val="clear" w:color="auto" w:fill="FFFFFF"/>
        <w:bidi w:val="0"/>
        <w:spacing w:after="210" w:line="312" w:lineRule="atLeast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10C1D">
        <w:rPr>
          <w:rFonts w:ascii="Verdana" w:eastAsia="Times New Roman" w:hAnsi="Verdana" w:cs="Times New Roman"/>
          <w:color w:val="333333"/>
          <w:sz w:val="20"/>
          <w:szCs w:val="20"/>
        </w:rPr>
        <w:t> </w:t>
      </w:r>
    </w:p>
    <w:p w:rsidR="00A10C1D" w:rsidRPr="00A10C1D" w:rsidRDefault="00A10C1D" w:rsidP="00A10C1D">
      <w:pPr>
        <w:shd w:val="clear" w:color="auto" w:fill="FFFFFF"/>
        <w:bidi w:val="0"/>
        <w:spacing w:after="0" w:line="312" w:lineRule="atLeast"/>
        <w:rPr>
          <w:rFonts w:ascii="Verdana" w:eastAsia="Times New Roman" w:hAnsi="Verdana" w:cs="Times New Roman"/>
          <w:color w:val="333333"/>
          <w:sz w:val="20"/>
          <w:szCs w:val="20"/>
        </w:rPr>
      </w:pPr>
    </w:p>
    <w:p w:rsidR="00A10C1D" w:rsidRPr="00A10C1D" w:rsidRDefault="001C2E70" w:rsidP="005E3676">
      <w:pPr>
        <w:shd w:val="clear" w:color="auto" w:fill="FFFFFF"/>
        <w:bidi w:val="0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hyperlink r:id="rId5" w:history="1">
        <w:r w:rsidR="00A10C1D" w:rsidRPr="00A10C1D">
          <w:rPr>
            <w:rFonts w:ascii="Verdana" w:eastAsia="Times New Roman" w:hAnsi="Verdana" w:cs="Times New Roman"/>
            <w:b/>
            <w:bCs/>
            <w:color w:val="663399"/>
            <w:sz w:val="21"/>
            <w:szCs w:val="21"/>
            <w:bdr w:val="none" w:sz="0" w:space="0" w:color="auto" w:frame="1"/>
          </w:rPr>
          <w:t xml:space="preserve">Describing trends </w:t>
        </w:r>
      </w:hyperlink>
    </w:p>
    <w:tbl>
      <w:tblPr>
        <w:tblW w:w="1089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66"/>
        <w:gridCol w:w="1145"/>
        <w:gridCol w:w="1272"/>
        <w:gridCol w:w="4763"/>
      </w:tblGrid>
      <w:tr w:rsidR="005E3676" w:rsidRPr="00A10C1D" w:rsidTr="005E367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E3676" w:rsidRPr="00A10C1D" w:rsidRDefault="005E3676" w:rsidP="00A10C1D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19"/>
                <w:szCs w:val="19"/>
              </w:rPr>
            </w:pP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t xml:space="preserve">The graph shows that there </w:t>
            </w:r>
            <w:r w:rsidR="00C92F6B">
              <w:rPr>
                <w:rFonts w:ascii="Verdana" w:eastAsia="Times New Roman" w:hAnsi="Verdana" w:cs="Times New Roman"/>
                <w:sz w:val="19"/>
                <w:szCs w:val="19"/>
              </w:rPr>
              <w:t xml:space="preserve">is / 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t>has been a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Figure 2  reveals that there </w:t>
            </w:r>
            <w:r w:rsidR="00C92F6B">
              <w:rPr>
                <w:rFonts w:ascii="Verdana" w:eastAsia="Times New Roman" w:hAnsi="Verdana" w:cs="Times New Roman"/>
                <w:sz w:val="19"/>
                <w:szCs w:val="19"/>
              </w:rPr>
              <w:t xml:space="preserve">is / 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t>has been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E3676" w:rsidRPr="00A10C1D" w:rsidRDefault="005E3676" w:rsidP="00A10C1D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E3676" w:rsidRPr="00A10C1D" w:rsidRDefault="005E3676" w:rsidP="00A10C1D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19"/>
                <w:szCs w:val="19"/>
              </w:rPr>
            </w:pP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t>slight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steep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sharp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steady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gradual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marked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E3676" w:rsidRPr="00A10C1D" w:rsidRDefault="005E3676" w:rsidP="00A10C1D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19"/>
                <w:szCs w:val="19"/>
              </w:rPr>
            </w:pP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t>fall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rise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drop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decline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increase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decrease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E3676" w:rsidRPr="00A10C1D" w:rsidRDefault="005E3676" w:rsidP="00A10C1D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19"/>
                <w:szCs w:val="19"/>
              </w:rPr>
            </w:pPr>
            <w:proofErr w:type="gramStart"/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t>in</w:t>
            </w:r>
            <w:proofErr w:type="gramEnd"/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t xml:space="preserve"> the number of divorces in England and Wales since 1981.</w:t>
            </w:r>
          </w:p>
        </w:tc>
      </w:tr>
    </w:tbl>
    <w:p w:rsidR="00A10C1D" w:rsidRPr="00A10C1D" w:rsidRDefault="00A10C1D" w:rsidP="00A10C1D">
      <w:pPr>
        <w:shd w:val="clear" w:color="auto" w:fill="FFFFFF"/>
        <w:bidi w:val="0"/>
        <w:spacing w:after="0" w:line="312" w:lineRule="atLeast"/>
        <w:rPr>
          <w:rFonts w:ascii="Verdana" w:eastAsia="Times New Roman" w:hAnsi="Verdana" w:cs="Times New Roman"/>
          <w:color w:val="333333"/>
          <w:sz w:val="20"/>
          <w:szCs w:val="20"/>
        </w:rPr>
      </w:pPr>
    </w:p>
    <w:p w:rsidR="00A10C1D" w:rsidRPr="00A10C1D" w:rsidRDefault="001C2E70" w:rsidP="005E3676">
      <w:pPr>
        <w:shd w:val="clear" w:color="auto" w:fill="FFFFFF"/>
        <w:bidi w:val="0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hyperlink r:id="rId6" w:history="1">
        <w:r w:rsidR="00A10C1D" w:rsidRPr="00A10C1D">
          <w:rPr>
            <w:rFonts w:ascii="Verdana" w:eastAsia="Times New Roman" w:hAnsi="Verdana" w:cs="Times New Roman"/>
            <w:b/>
            <w:bCs/>
            <w:color w:val="663399"/>
            <w:sz w:val="21"/>
            <w:szCs w:val="21"/>
            <w:bdr w:val="none" w:sz="0" w:space="0" w:color="auto" w:frame="1"/>
          </w:rPr>
          <w:t xml:space="preserve">Highlighting a trend in a table or chart </w:t>
        </w:r>
      </w:hyperlink>
    </w:p>
    <w:tbl>
      <w:tblPr>
        <w:tblW w:w="97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4"/>
        <w:gridCol w:w="1192"/>
        <w:gridCol w:w="1151"/>
        <w:gridCol w:w="4043"/>
      </w:tblGrid>
      <w:tr w:rsidR="00A10C1D" w:rsidRPr="00A10C1D" w:rsidTr="00A10C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10C1D" w:rsidRPr="00A10C1D" w:rsidRDefault="00A10C1D" w:rsidP="00A10C1D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19"/>
                <w:szCs w:val="19"/>
              </w:rPr>
            </w:pP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t>What is striking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What stands out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What is interesting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What can be clearly seen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10C1D" w:rsidRPr="00A10C1D" w:rsidRDefault="00A10C1D" w:rsidP="00A10C1D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19"/>
                <w:szCs w:val="19"/>
              </w:rPr>
            </w:pP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t>in this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10C1D" w:rsidRPr="00A10C1D" w:rsidRDefault="00A10C1D" w:rsidP="00A10C1D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19"/>
                <w:szCs w:val="19"/>
              </w:rPr>
            </w:pP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t>table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chart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figure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10C1D" w:rsidRPr="00A10C1D" w:rsidRDefault="00A10C1D" w:rsidP="00A10C1D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19"/>
                <w:szCs w:val="19"/>
              </w:rPr>
            </w:pP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t>is the growth of …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is the high rate of …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is the variability of …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is the dominance of …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is the rapid decrease in …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is the steady decline of …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is the general pattern of …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is the dramatic decline in …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is the continual growth of …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is the difference between …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is the phenomenal growth of …</w:t>
            </w:r>
          </w:p>
        </w:tc>
      </w:tr>
    </w:tbl>
    <w:p w:rsidR="00A10C1D" w:rsidRPr="00A10C1D" w:rsidRDefault="00A10C1D" w:rsidP="00A10C1D">
      <w:pPr>
        <w:shd w:val="clear" w:color="auto" w:fill="FFFFFF"/>
        <w:bidi w:val="0"/>
        <w:spacing w:after="0" w:line="312" w:lineRule="atLeast"/>
        <w:rPr>
          <w:rFonts w:ascii="Verdana" w:eastAsia="Times New Roman" w:hAnsi="Verdana" w:cs="Times New Roman"/>
          <w:color w:val="333333"/>
          <w:sz w:val="20"/>
          <w:szCs w:val="20"/>
        </w:rPr>
      </w:pPr>
    </w:p>
    <w:p w:rsidR="00A10C1D" w:rsidRPr="00A10C1D" w:rsidRDefault="001C2E70" w:rsidP="005E3676">
      <w:pPr>
        <w:shd w:val="clear" w:color="auto" w:fill="FFFFFF"/>
        <w:bidi w:val="0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hyperlink r:id="rId7" w:history="1">
        <w:r w:rsidR="00A10C1D" w:rsidRPr="00A10C1D">
          <w:rPr>
            <w:rFonts w:ascii="Verdana" w:eastAsia="Times New Roman" w:hAnsi="Verdana" w:cs="Times New Roman"/>
            <w:b/>
            <w:bCs/>
            <w:color w:val="663399"/>
            <w:sz w:val="21"/>
            <w:szCs w:val="21"/>
            <w:bdr w:val="none" w:sz="0" w:space="0" w:color="auto" w:frame="1"/>
          </w:rPr>
          <w:t xml:space="preserve">Describing high and low points in figures </w:t>
        </w:r>
      </w:hyperlink>
    </w:p>
    <w:p w:rsidR="00A10C1D" w:rsidRPr="00A10C1D" w:rsidRDefault="00A10C1D" w:rsidP="00A10C1D">
      <w:pPr>
        <w:shd w:val="clear" w:color="auto" w:fill="FFFFFF"/>
        <w:bidi w:val="0"/>
        <w:spacing w:after="0" w:line="312" w:lineRule="atLeast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10C1D">
        <w:rPr>
          <w:rFonts w:ascii="Verdana" w:eastAsia="Times New Roman" w:hAnsi="Verdana" w:cs="Times New Roman"/>
          <w:color w:val="333333"/>
          <w:sz w:val="20"/>
          <w:szCs w:val="20"/>
        </w:rPr>
        <w:t xml:space="preserve">Production of X </w:t>
      </w:r>
      <w:r w:rsidRPr="001C2E70"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  <w:t>peaked</w:t>
      </w:r>
      <w:r w:rsidRPr="00A10C1D">
        <w:rPr>
          <w:rFonts w:ascii="Verdana" w:eastAsia="Times New Roman" w:hAnsi="Verdana" w:cs="Times New Roman"/>
          <w:color w:val="333333"/>
          <w:sz w:val="20"/>
          <w:szCs w:val="20"/>
        </w:rPr>
        <w:t xml:space="preserve"> in 1985.</w:t>
      </w:r>
      <w:r w:rsidRPr="00A10C1D">
        <w:rPr>
          <w:rFonts w:ascii="Verdana" w:eastAsia="Times New Roman" w:hAnsi="Verdana" w:cs="Times New Roman"/>
          <w:color w:val="333333"/>
          <w:sz w:val="20"/>
          <w:szCs w:val="20"/>
        </w:rPr>
        <w:br/>
        <w:t xml:space="preserve">X </w:t>
      </w:r>
      <w:r w:rsidRPr="001C2E70"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  <w:t>rose to a high point</w:t>
      </w:r>
      <w:r w:rsidRPr="00A10C1D">
        <w:rPr>
          <w:rFonts w:ascii="Verdana" w:eastAsia="Times New Roman" w:hAnsi="Verdana" w:cs="Times New Roman"/>
          <w:color w:val="333333"/>
          <w:sz w:val="20"/>
          <w:szCs w:val="20"/>
        </w:rPr>
        <w:t xml:space="preserve"> and peaked in …</w:t>
      </w:r>
      <w:r w:rsidRPr="00A10C1D">
        <w:rPr>
          <w:rFonts w:ascii="Verdana" w:eastAsia="Times New Roman" w:hAnsi="Verdana" w:cs="Times New Roman"/>
          <w:color w:val="333333"/>
          <w:sz w:val="20"/>
          <w:szCs w:val="20"/>
        </w:rPr>
        <w:br/>
        <w:t xml:space="preserve">The </w:t>
      </w:r>
      <w:r w:rsidRPr="001C2E70"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  <w:t>peak age</w:t>
      </w:r>
      <w:r w:rsidRPr="00A10C1D">
        <w:rPr>
          <w:rFonts w:ascii="Verdana" w:eastAsia="Times New Roman" w:hAnsi="Verdana" w:cs="Times New Roman"/>
          <w:color w:val="333333"/>
          <w:sz w:val="20"/>
          <w:szCs w:val="20"/>
        </w:rPr>
        <w:t xml:space="preserve"> for committing a crime is 18.</w:t>
      </w:r>
      <w:r w:rsidRPr="00A10C1D">
        <w:rPr>
          <w:rFonts w:ascii="Verdana" w:eastAsia="Times New Roman" w:hAnsi="Verdana" w:cs="Times New Roman"/>
          <w:color w:val="333333"/>
          <w:sz w:val="20"/>
          <w:szCs w:val="20"/>
        </w:rPr>
        <w:br/>
        <w:t xml:space="preserve">The number of </w:t>
      </w:r>
      <w:proofErr w:type="spellStart"/>
      <w:r w:rsidRPr="00A10C1D">
        <w:rPr>
          <w:rFonts w:ascii="Verdana" w:eastAsia="Times New Roman" w:hAnsi="Verdana" w:cs="Times New Roman"/>
          <w:color w:val="333333"/>
          <w:sz w:val="20"/>
          <w:szCs w:val="20"/>
        </w:rPr>
        <w:t>Xs</w:t>
      </w:r>
      <w:proofErr w:type="spellEnd"/>
      <w:r w:rsidRPr="00A10C1D">
        <w:rPr>
          <w:rFonts w:ascii="Verdana" w:eastAsia="Times New Roman" w:hAnsi="Verdana" w:cs="Times New Roman"/>
          <w:color w:val="333333"/>
          <w:sz w:val="20"/>
          <w:szCs w:val="20"/>
        </w:rPr>
        <w:t xml:space="preserve"> </w:t>
      </w:r>
      <w:r w:rsidRPr="001C2E70"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  <w:t>reached a peak</w:t>
      </w:r>
      <w:r w:rsidRPr="00A10C1D">
        <w:rPr>
          <w:rFonts w:ascii="Verdana" w:eastAsia="Times New Roman" w:hAnsi="Verdana" w:cs="Times New Roman"/>
          <w:color w:val="333333"/>
          <w:sz w:val="20"/>
          <w:szCs w:val="20"/>
        </w:rPr>
        <w:t xml:space="preserve"> during …</w:t>
      </w:r>
    </w:p>
    <w:p w:rsidR="00A10C1D" w:rsidRPr="00A10C1D" w:rsidRDefault="00A10C1D" w:rsidP="00A10C1D">
      <w:pPr>
        <w:shd w:val="clear" w:color="auto" w:fill="FFFFFF"/>
        <w:bidi w:val="0"/>
        <w:spacing w:after="0" w:line="312" w:lineRule="atLeast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10C1D">
        <w:rPr>
          <w:rFonts w:ascii="Verdana" w:eastAsia="Times New Roman" w:hAnsi="Verdana" w:cs="Times New Roman"/>
          <w:color w:val="333333"/>
          <w:sz w:val="20"/>
          <w:szCs w:val="20"/>
        </w:rPr>
        <w:t xml:space="preserve">Production of X </w:t>
      </w:r>
      <w:r w:rsidRPr="001C2E70"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  <w:t>reached a low point</w:t>
      </w:r>
      <w:r w:rsidRPr="00A10C1D">
        <w:rPr>
          <w:rFonts w:ascii="Verdana" w:eastAsia="Times New Roman" w:hAnsi="Verdana" w:cs="Times New Roman"/>
          <w:color w:val="333333"/>
          <w:sz w:val="20"/>
          <w:szCs w:val="20"/>
        </w:rPr>
        <w:t xml:space="preserve"> in 1990.</w:t>
      </w:r>
      <w:r w:rsidRPr="00A10C1D">
        <w:rPr>
          <w:rFonts w:ascii="Verdana" w:eastAsia="Times New Roman" w:hAnsi="Verdana" w:cs="Times New Roman"/>
          <w:color w:val="333333"/>
          <w:sz w:val="20"/>
          <w:szCs w:val="20"/>
        </w:rPr>
        <w:br/>
        <w:t xml:space="preserve">The rate </w:t>
      </w:r>
      <w:r w:rsidRPr="001C2E70"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  <w:t>fell to a low point</w:t>
      </w:r>
      <w:r w:rsidRPr="00A10C1D">
        <w:rPr>
          <w:rFonts w:ascii="Verdana" w:eastAsia="Times New Roman" w:hAnsi="Verdana" w:cs="Times New Roman"/>
          <w:color w:val="333333"/>
          <w:sz w:val="20"/>
          <w:szCs w:val="20"/>
        </w:rPr>
        <w:t xml:space="preserve"> of $5.00 at the end of the year.</w:t>
      </w:r>
    </w:p>
    <w:p w:rsidR="00A10C1D" w:rsidRDefault="00A10C1D" w:rsidP="00A10C1D">
      <w:pPr>
        <w:shd w:val="clear" w:color="auto" w:fill="FFFFFF"/>
        <w:bidi w:val="0"/>
        <w:spacing w:after="0" w:line="300" w:lineRule="atLeast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</w:pPr>
      <w:r w:rsidRPr="00A10C1D">
        <w:rPr>
          <w:rFonts w:ascii="Verdana" w:eastAsia="Times New Roman" w:hAnsi="Verdana" w:cs="Times New Roman"/>
          <w:color w:val="333333"/>
          <w:sz w:val="21"/>
          <w:szCs w:val="21"/>
        </w:rPr>
        <w:br/>
      </w:r>
    </w:p>
    <w:p w:rsidR="00A10C1D" w:rsidRDefault="00A10C1D" w:rsidP="00A10C1D">
      <w:pPr>
        <w:shd w:val="clear" w:color="auto" w:fill="FFFFFF"/>
        <w:bidi w:val="0"/>
        <w:spacing w:after="0" w:line="300" w:lineRule="atLeast"/>
        <w:rPr>
          <w:rFonts w:ascii="Verdana" w:eastAsia="Times New Roman" w:hAnsi="Verdana" w:cs="Times New Roman"/>
          <w:b/>
          <w:bCs/>
          <w:color w:val="333333"/>
          <w:sz w:val="21"/>
          <w:szCs w:val="21"/>
          <w:bdr w:val="none" w:sz="0" w:space="0" w:color="auto" w:frame="1"/>
        </w:rPr>
      </w:pPr>
    </w:p>
    <w:p w:rsidR="00A10C1D" w:rsidRDefault="00A10C1D" w:rsidP="00A10C1D">
      <w:pPr>
        <w:shd w:val="clear" w:color="auto" w:fill="FFFFFF"/>
        <w:bidi w:val="0"/>
        <w:spacing w:after="0" w:line="300" w:lineRule="atLeast"/>
        <w:rPr>
          <w:rFonts w:ascii="Verdana" w:eastAsia="Times New Roman" w:hAnsi="Verdana" w:cs="Times New Roman"/>
          <w:b/>
          <w:bCs/>
          <w:color w:val="333333"/>
          <w:sz w:val="21"/>
          <w:szCs w:val="21"/>
          <w:bdr w:val="none" w:sz="0" w:space="0" w:color="auto" w:frame="1"/>
        </w:rPr>
      </w:pPr>
    </w:p>
    <w:p w:rsidR="00A10C1D" w:rsidRDefault="00A10C1D" w:rsidP="00A10C1D">
      <w:pPr>
        <w:shd w:val="clear" w:color="auto" w:fill="FFFFFF"/>
        <w:bidi w:val="0"/>
        <w:spacing w:after="0" w:line="300" w:lineRule="atLeast"/>
        <w:rPr>
          <w:rFonts w:ascii="Verdana" w:eastAsia="Times New Roman" w:hAnsi="Verdana" w:cs="Times New Roman"/>
          <w:b/>
          <w:bCs/>
          <w:color w:val="333333"/>
          <w:sz w:val="21"/>
          <w:szCs w:val="21"/>
          <w:bdr w:val="none" w:sz="0" w:space="0" w:color="auto" w:frame="1"/>
        </w:rPr>
      </w:pPr>
    </w:p>
    <w:p w:rsidR="00A10C1D" w:rsidRPr="00A10C1D" w:rsidRDefault="001C2E70" w:rsidP="005E3676">
      <w:pPr>
        <w:shd w:val="clear" w:color="auto" w:fill="FFFFFF"/>
        <w:bidi w:val="0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A10C1D" w:rsidRPr="00A10C1D">
          <w:rPr>
            <w:rFonts w:ascii="Verdana" w:eastAsia="Times New Roman" w:hAnsi="Verdana" w:cs="Times New Roman"/>
            <w:b/>
            <w:bCs/>
            <w:color w:val="663399"/>
            <w:sz w:val="21"/>
            <w:szCs w:val="21"/>
            <w:bdr w:val="none" w:sz="0" w:space="0" w:color="auto" w:frame="1"/>
          </w:rPr>
          <w:t xml:space="preserve">Projecting trends </w:t>
        </w:r>
      </w:hyperlink>
    </w:p>
    <w:tbl>
      <w:tblPr>
        <w:tblW w:w="97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214"/>
        <w:gridCol w:w="3049"/>
        <w:gridCol w:w="1853"/>
      </w:tblGrid>
      <w:tr w:rsidR="00A10C1D" w:rsidRPr="00A10C1D" w:rsidTr="00A10C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10C1D" w:rsidRPr="00A10C1D" w:rsidRDefault="00A10C1D" w:rsidP="00A10C1D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19"/>
                <w:szCs w:val="19"/>
              </w:rPr>
            </w:pP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t>The rate of Z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The amount of Y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The number of </w:t>
            </w:r>
            <w:proofErr w:type="spellStart"/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t>Xs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10C1D" w:rsidRPr="00A10C1D" w:rsidRDefault="00A10C1D" w:rsidP="00A10C1D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19"/>
                <w:szCs w:val="19"/>
              </w:rPr>
            </w:pP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t>is likely to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will probably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is expected to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is projected 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10C1D" w:rsidRPr="00A10C1D" w:rsidRDefault="00A10C1D" w:rsidP="001C2E70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19"/>
                <w:szCs w:val="19"/>
              </w:rPr>
            </w:pP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t>fall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reach …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rise to …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increase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level off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decline by …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drop sharply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remain steady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be as high as …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decline steadily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continue decreasing</w:t>
            </w:r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br/>
              <w:t>grow by more than 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10C1D" w:rsidRPr="00A10C1D" w:rsidRDefault="00A10C1D" w:rsidP="00A10C1D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19"/>
                <w:szCs w:val="19"/>
              </w:rPr>
            </w:pPr>
            <w:proofErr w:type="gramStart"/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t>after</w:t>
            </w:r>
            <w:proofErr w:type="gramEnd"/>
            <w:r w:rsidRPr="00A10C1D">
              <w:rPr>
                <w:rFonts w:ascii="Verdana" w:eastAsia="Times New Roman" w:hAnsi="Verdana" w:cs="Times New Roman"/>
                <w:sz w:val="19"/>
                <w:szCs w:val="19"/>
              </w:rPr>
              <w:t xml:space="preserve"> 2020.</w:t>
            </w:r>
          </w:p>
        </w:tc>
      </w:tr>
    </w:tbl>
    <w:p w:rsidR="00A10C1D" w:rsidRPr="00A10C1D" w:rsidRDefault="00A10C1D" w:rsidP="00A10C1D">
      <w:pPr>
        <w:shd w:val="clear" w:color="auto" w:fill="FFFFFF"/>
        <w:bidi w:val="0"/>
        <w:spacing w:after="0" w:line="240" w:lineRule="atLeast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10C1D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A10C1D" w:rsidRPr="00A10C1D" w:rsidRDefault="00A10C1D" w:rsidP="00A10C1D">
      <w:pPr>
        <w:shd w:val="clear" w:color="auto" w:fill="FFFFFF"/>
        <w:bidi w:val="0"/>
        <w:spacing w:after="0" w:line="15" w:lineRule="atLeast"/>
        <w:rPr>
          <w:rFonts w:ascii="Verdana" w:eastAsia="Times New Roman" w:hAnsi="Verdana" w:cs="Times New Roman"/>
          <w:color w:val="333333"/>
          <w:sz w:val="2"/>
          <w:szCs w:val="2"/>
        </w:rPr>
      </w:pPr>
      <w:r w:rsidRPr="00A10C1D">
        <w:rPr>
          <w:rFonts w:ascii="Verdana" w:eastAsia="Times New Roman" w:hAnsi="Verdana" w:cs="Times New Roman"/>
          <w:color w:val="333333"/>
          <w:sz w:val="2"/>
          <w:szCs w:val="2"/>
        </w:rPr>
        <w:t> </w:t>
      </w:r>
    </w:p>
    <w:p w:rsidR="005C340C" w:rsidRDefault="005C340C" w:rsidP="00A10C1D">
      <w:pPr>
        <w:bidi w:val="0"/>
      </w:pPr>
    </w:p>
    <w:p w:rsidR="00316D2F" w:rsidRDefault="00316D2F" w:rsidP="001C2E70">
      <w:pPr>
        <w:bidi w:val="0"/>
        <w:ind w:left="3600" w:firstLine="720"/>
      </w:pPr>
      <w:r>
        <w:t xml:space="preserve">Adapted from: </w:t>
      </w:r>
      <w:r w:rsidRPr="00316D2F">
        <w:t>www.phrasebank.manchester.ac.uk</w:t>
      </w:r>
    </w:p>
    <w:sectPr w:rsidR="00316D2F" w:rsidSect="005C34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B2621"/>
    <w:multiLevelType w:val="multilevel"/>
    <w:tmpl w:val="0A48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1D"/>
    <w:rsid w:val="00136F33"/>
    <w:rsid w:val="001C2E70"/>
    <w:rsid w:val="00316D2F"/>
    <w:rsid w:val="005C340C"/>
    <w:rsid w:val="005E3676"/>
    <w:rsid w:val="00A10C1D"/>
    <w:rsid w:val="00C92F6B"/>
    <w:rsid w:val="00E8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1EF57-FEAF-4DDE-A33E-DA966A09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A10C1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C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ing">
    <w:name w:val="heading"/>
    <w:basedOn w:val="Normal"/>
    <w:rsid w:val="00A10C1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0C1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0C1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0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047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7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2177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4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56194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0032">
              <w:marLeft w:val="15"/>
              <w:marRight w:val="15"/>
              <w:marTop w:val="15"/>
              <w:marBottom w:val="15"/>
              <w:divBdr>
                <w:top w:val="single" w:sz="6" w:space="11" w:color="000080"/>
                <w:left w:val="single" w:sz="6" w:space="11" w:color="000080"/>
                <w:bottom w:val="single" w:sz="6" w:space="11" w:color="000080"/>
                <w:right w:val="single" w:sz="6" w:space="11" w:color="000080"/>
              </w:divBdr>
            </w:div>
            <w:div w:id="2071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rasebank.manchester.ac.uk/describing-tren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rasebank.manchester.ac.uk/describing-tren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rasebank.manchester.ac.uk/describing-trends/" TargetMode="External"/><Relationship Id="rId5" Type="http://schemas.openxmlformats.org/officeDocument/2006/relationships/hyperlink" Target="http://www.phrasebank.manchester.ac.uk/describing-trend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1673</Characters>
  <Application>Microsoft Office Word</Application>
  <DocSecurity>0</DocSecurity>
  <Lines>13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Describing Trends</vt:lpstr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6</cp:revision>
  <dcterms:created xsi:type="dcterms:W3CDTF">2021-05-13T09:21:00Z</dcterms:created>
  <dcterms:modified xsi:type="dcterms:W3CDTF">2021-05-23T18:31:00Z</dcterms:modified>
</cp:coreProperties>
</file>